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90"/>
        <w:jc w:val="center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RFP 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4158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 – 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AP Economics (Macro + Micro) Core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Vendor Questions/Inquiries and Responses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1:</w:t>
        <w:tab/>
        <w:t xml:space="preserve">What are the enrollments for AP Macro and AP Micro?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b w:val="1"/>
          <w:bCs w:val="1"/>
          <w:sz w:val="24"/>
          <w:szCs w:val="24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teachers per course?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RESPONSE: </w:t>
      </w:r>
      <w:r w:rsidDel="00000000" w:rsidR="00000000" w:rsidRPr="00000000">
        <w:rPr>
          <w:sz w:val="24"/>
          <w:szCs w:val="24"/>
          <w:rtl w:val="0"/>
        </w:rPr>
        <w:t xml:space="preserve">Currently it is in 2 schools (a third school may open a section). Anticipating up to approximately 150 students per course.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left="720" w:hanging="720"/>
        <w:rPr>
          <w:b w:val="1"/>
          <w:bCs w:val="1"/>
          <w:sz w:val="24"/>
          <w:szCs w:val="24"/>
          <w:shd w:fill="auto" w:val="clear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2:</w:t>
        <w:tab/>
        <w:t xml:space="preserve">What is the length of adoption if awarded? How many</w:t>
      </w:r>
      <w:r w:rsidDel="00000000" w:rsidR="00000000" w:rsidRPr="00000000">
        <w:rPr>
          <w:b w:val="1"/>
          <w:bCs w:val="1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years would the District like to see pricing for?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hanging="720"/>
        <w:jc w:val="both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RESPONSE: 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T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ypically review 7 - 10 year cycles; Online resource access - 6 year license (typical, but in partnership w/ vendor)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color w:val="000000"/>
          <w:sz w:val="24"/>
          <w:szCs w:val="24"/>
          <w:shd w:fill="auto" w:val="clear"/>
        </w:rPr>
      </w:pPr>
      <w:bookmarkStart w:colFirst="0" w:colLast="0" w:name="_heading=h.stue0nmrqko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left="720" w:hanging="720"/>
        <w:rPr>
          <w:b w:val="1"/>
          <w:bCs w:val="1"/>
          <w:sz w:val="24"/>
          <w:szCs w:val="24"/>
          <w:shd w:fill="auto" w:val="clear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3:</w:t>
        <w:tab/>
        <w:t xml:space="preserve">Will the District accept electronic submission? Or is a</w:t>
      </w:r>
      <w:r w:rsidDel="00000000" w:rsidR="00000000" w:rsidRPr="00000000">
        <w:rPr>
          <w:b w:val="1"/>
          <w:bCs w:val="1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print submission required?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auto" w:val="clear"/>
        <w:spacing w:after="280" w:before="280" w:lineRule="auto"/>
        <w:ind w:left="720" w:firstLine="0"/>
        <w:jc w:val="both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RESPONSE:  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Please see section 2.4 Submitting the proposal in the RFP. 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Both print and electronic versions are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left="720" w:hanging="720"/>
        <w:rPr>
          <w:b w:val="1"/>
          <w:bCs w:val="1"/>
          <w:sz w:val="24"/>
          <w:szCs w:val="24"/>
          <w:shd w:fill="auto" w:val="clear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4:</w:t>
        <w:tab/>
      </w:r>
      <w:r w:rsidDel="00000000" w:rsidR="00000000" w:rsidRPr="00000000">
        <w:rPr>
          <w:b w:val="1"/>
          <w:bCs w:val="1"/>
          <w:sz w:val="24"/>
          <w:szCs w:val="24"/>
          <w:shd w:fill="auto" w:val="clear"/>
          <w:rtl w:val="0"/>
        </w:rPr>
        <w:t xml:space="preserve">Are we required to use the District's provided Attachment E - Cost Summary Sheet? Or can we submit a cost proposal in our own format?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auto" w:val="clear"/>
        <w:spacing w:after="280" w:before="280" w:lineRule="auto"/>
        <w:ind w:left="720" w:firstLine="0"/>
        <w:jc w:val="both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RESPONSE: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 Vendors have flexibi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lity in how they would like to format the cost proposal. You may use Attachment E or another format.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ind w:left="720" w:hanging="720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5:</w:t>
        <w:tab/>
        <w:t xml:space="preserve">What is the student enrollment for the AP Econ course?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auto" w:val="clear"/>
        <w:spacing w:after="280" w:before="2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RESPONSE: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Currently it is in 2 schools (a third school may open a section). Anticipating up to approximately 150 students total per course (Macro and Micro).</w:t>
      </w:r>
    </w:p>
    <w:p w:rsidR="00000000" w:rsidDel="00000000" w:rsidP="00000000" w:rsidRDefault="00000000" w:rsidRPr="00000000" w14:paraId="00000011">
      <w:pPr>
        <w:shd w:fill="auto" w:val="clear"/>
        <w:spacing w:after="280" w:before="28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auto" w:val="clear"/>
        <w:spacing w:after="280" w:before="28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From Vendor Conference (Feb 24, 2026)</w:t>
      </w:r>
    </w:p>
    <w:p w:rsidR="00000000" w:rsidDel="00000000" w:rsidP="00000000" w:rsidRDefault="00000000" w:rsidRPr="00000000" w14:paraId="00000013">
      <w:pPr>
        <w:shd w:fill="ffffff" w:val="clear"/>
        <w:ind w:left="720" w:hanging="720"/>
        <w:rPr>
          <w:b w:val="1"/>
          <w:bCs w:val="1"/>
          <w:sz w:val="24"/>
          <w:szCs w:val="24"/>
          <w:shd w:fill="auto" w:val="clear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6:</w:t>
        <w:tab/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What text is currently used in these courses?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auto" w:val="clear"/>
        <w:spacing w:after="280" w:before="280" w:lineRule="auto"/>
        <w:ind w:left="720" w:firstLine="0"/>
        <w:jc w:val="both"/>
        <w:rPr>
          <w:color w:val="000000"/>
          <w:sz w:val="24"/>
          <w:szCs w:val="24"/>
          <w:shd w:fill="auto" w:val="clear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RESPONSE: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Krugman's </w:t>
      </w:r>
      <w:r w:rsidDel="00000000" w:rsidR="00000000" w:rsidRPr="00000000">
        <w:rPr>
          <w:i w:val="1"/>
          <w:iCs w:val="1"/>
          <w:sz w:val="24"/>
          <w:szCs w:val="24"/>
          <w:shd w:fill="auto" w:val="clear"/>
          <w:rtl w:val="0"/>
        </w:rPr>
        <w:t xml:space="preserve">Economics for AP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, 2nd Edition, BFW Publishers,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auto" w:val="clear"/>
        <w:spacing w:after="280" w:before="280" w:lineRule="auto"/>
        <w:ind w:left="720" w:firstLine="0"/>
        <w:jc w:val="both"/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810" w:top="540" w:left="810" w:right="9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Style w:val="Heading1"/>
      <w:ind w:firstLine="90"/>
      <w:rPr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RFP </w:t>
    </w:r>
    <w:r w:rsidDel="00000000" w:rsidR="00000000" w:rsidRPr="00000000">
      <w:rPr>
        <w:color w:val="000000"/>
        <w:sz w:val="18"/>
        <w:szCs w:val="18"/>
        <w:highlight w:val="yellow"/>
        <w:rtl w:val="0"/>
      </w:rPr>
      <w:t xml:space="preserve">NUMBER</w:t>
    </w:r>
    <w:r w:rsidDel="00000000" w:rsidR="00000000" w:rsidRPr="00000000">
      <w:rPr>
        <w:color w:val="000000"/>
        <w:sz w:val="18"/>
        <w:szCs w:val="18"/>
        <w:rtl w:val="0"/>
      </w:rPr>
      <w:t xml:space="preserve"> – Request for Proposal for </w:t>
    </w:r>
    <w:r w:rsidDel="00000000" w:rsidR="00000000" w:rsidRPr="00000000">
      <w:rPr>
        <w:color w:val="000000"/>
        <w:sz w:val="18"/>
        <w:szCs w:val="18"/>
        <w:highlight w:val="yellow"/>
        <w:rtl w:val="0"/>
      </w:rPr>
      <w:t xml:space="preserve">NAME</w:t>
    </w:r>
    <w:r w:rsidDel="00000000" w:rsidR="00000000" w:rsidRPr="00000000">
      <w:rPr>
        <w:b w:val="0"/>
        <w:bCs w:val="0"/>
        <w:sz w:val="18"/>
        <w:szCs w:val="18"/>
        <w:rtl w:val="0"/>
      </w:rPr>
      <w:t xml:space="preserve"> (Inquiries/Questions and Responses)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highlight w:val="white"/>
        <w:lang w:val="en"/>
      </w:rPr>
    </w:rPrDefault>
    <w:pPrDefault>
      <w:pPr>
        <w:shd w:fill="ffffff" w:val="clea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90" w:before="90" w:lineRule="auto"/>
      <w:ind w:left="90" w:right="90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90" w:before="90" w:lineRule="auto"/>
      <w:ind w:left="90" w:right="90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90" w:before="90" w:lineRule="auto"/>
      <w:ind w:left="90" w:right="90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90" w:before="90" w:lineRule="auto"/>
      <w:ind w:left="90" w:right="90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90" w:before="90" w:lineRule="auto"/>
      <w:ind w:left="90" w:right="90"/>
    </w:pPr>
    <w:rPr>
      <w:b w:val="1"/>
      <w:bCs w:val="1"/>
      <w:i w:val="1"/>
      <w:iCs w:val="1"/>
      <w:sz w:val="16"/>
      <w:szCs w:val="16"/>
    </w:rPr>
  </w:style>
  <w:style w:type="paragraph" w:styleId="Heading6">
    <w:name w:val="heading 6"/>
    <w:basedOn w:val="Normal"/>
    <w:next w:val="Normal"/>
    <w:pPr>
      <w:spacing w:after="90" w:before="90" w:lineRule="auto"/>
      <w:ind w:left="90" w:right="90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writely-toc-lower-roman" w:customStyle="1">
    <w:name w:val="writely-toc-lower-roman"/>
    <w:basedOn w:val="Normal"/>
    <w:rsid w:val="00C16E88"/>
  </w:style>
  <w:style w:type="paragraph" w:styleId="Tr" w:customStyle="1">
    <w:name w:val="Tr"/>
    <w:basedOn w:val="Normal"/>
    <w:rsid w:val="00C16E88"/>
  </w:style>
  <w:style w:type="paragraph" w:styleId="Img" w:customStyle="1">
    <w:name w:val="Img"/>
    <w:basedOn w:val="Normal"/>
    <w:rsid w:val="00C16E88"/>
  </w:style>
  <w:style w:type="paragraph" w:styleId="Div" w:customStyle="1">
    <w:name w:val="Div"/>
    <w:basedOn w:val="Normal"/>
    <w:rsid w:val="00C16E88"/>
  </w:style>
  <w:style w:type="paragraph" w:styleId="webkit-indent-blockquote" w:customStyle="1">
    <w:name w:val="webkit-indent-blockquote"/>
    <w:basedOn w:val="Normal"/>
    <w:rsid w:val="00C16E88"/>
  </w:style>
  <w:style w:type="paragraph" w:styleId="writely-toc-disc" w:customStyle="1">
    <w:name w:val="writely-toc-disc"/>
    <w:basedOn w:val="Normal"/>
    <w:rsid w:val="00C16E88"/>
  </w:style>
  <w:style w:type="paragraph" w:styleId="Ol" w:customStyle="1">
    <w:name w:val="Ol"/>
    <w:basedOn w:val="Normal"/>
    <w:rsid w:val="00C16E88"/>
  </w:style>
  <w:style w:type="paragraph" w:styleId="writely-toc-decimal" w:customStyle="1">
    <w:name w:val="writely-toc-decimal"/>
    <w:basedOn w:val="Normal"/>
    <w:rsid w:val="00C16E88"/>
  </w:style>
  <w:style w:type="paragraph" w:styleId="Option" w:customStyle="1">
    <w:name w:val="Option"/>
    <w:basedOn w:val="Normal"/>
    <w:rsid w:val="00C16E88"/>
  </w:style>
  <w:style w:type="paragraph" w:styleId="Ul" w:customStyle="1">
    <w:name w:val="Ul"/>
    <w:basedOn w:val="Normal"/>
    <w:rsid w:val="00C16E88"/>
  </w:style>
  <w:style w:type="paragraph" w:styleId="Select" w:customStyle="1">
    <w:name w:val="Select"/>
    <w:basedOn w:val="Normal"/>
    <w:rsid w:val="00C16E88"/>
  </w:style>
  <w:style w:type="paragraph" w:styleId="writely-toc-lower-alpha" w:customStyle="1">
    <w:name w:val="writely-toc-lower-alpha"/>
    <w:basedOn w:val="Normal"/>
    <w:rsid w:val="00C16E88"/>
  </w:style>
  <w:style w:type="paragraph" w:styleId="Blockquote" w:customStyle="1">
    <w:name w:val="Blockquote"/>
    <w:basedOn w:val="Normal"/>
    <w:rsid w:val="00C16E88"/>
    <w:pPr>
      <w:pBdr>
        <w:top w:color="dddddd" w:space="7" w:sz="6" w:val="dashSmallGap"/>
        <w:left w:color="dddddd" w:space="7" w:sz="6" w:val="dashSmallGap"/>
        <w:bottom w:color="dddddd" w:space="7" w:sz="6" w:val="dashSmallGap"/>
        <w:right w:color="dddddd" w:space="7" w:sz="6" w:val="dashSmallGap"/>
      </w:pBdr>
    </w:pPr>
    <w:rPr>
      <w:bdr w:color="dddddd" w:space="0" w:sz="6" w:val="dashSmallGap"/>
    </w:rPr>
  </w:style>
  <w:style w:type="paragraph" w:styleId="writely-toc-upper-alpha" w:customStyle="1">
    <w:name w:val="writely-toc-upper-alpha"/>
    <w:basedOn w:val="Normal"/>
    <w:rsid w:val="00C16E88"/>
  </w:style>
  <w:style w:type="paragraph" w:styleId="Table" w:customStyle="1">
    <w:name w:val="Table"/>
    <w:basedOn w:val="Normal"/>
    <w:rsid w:val="00C16E88"/>
  </w:style>
  <w:style w:type="paragraph" w:styleId="Li" w:customStyle="1">
    <w:name w:val="Li"/>
    <w:basedOn w:val="Normal"/>
    <w:rsid w:val="00C16E88"/>
  </w:style>
  <w:style w:type="paragraph" w:styleId="pb" w:customStyle="1">
    <w:name w:val="pb"/>
    <w:basedOn w:val="Normal"/>
    <w:rsid w:val="00C16E88"/>
  </w:style>
  <w:style w:type="paragraph" w:styleId="Address" w:customStyle="1">
    <w:name w:val="Address"/>
    <w:basedOn w:val="Normal"/>
    <w:rsid w:val="00C16E88"/>
  </w:style>
  <w:style w:type="paragraph" w:styleId="Pre" w:customStyle="1">
    <w:name w:val="Pre"/>
    <w:basedOn w:val="Normal"/>
    <w:rsid w:val="00C16E88"/>
    <w:rPr>
      <w:rFonts w:ascii="Courier New" w:cs="Courier New" w:eastAsia="Courier New" w:hAnsi="Courier New"/>
    </w:rPr>
  </w:style>
  <w:style w:type="paragraph" w:styleId="Olwritely-toc-subheading" w:customStyle="1">
    <w:name w:val="Ol_writely-toc-subheading"/>
    <w:basedOn w:val="Ol"/>
    <w:rsid w:val="00C16E88"/>
  </w:style>
  <w:style w:type="paragraph" w:styleId="writely-toc-upper-roman" w:customStyle="1">
    <w:name w:val="writely-toc-upper-roman"/>
    <w:basedOn w:val="Normal"/>
    <w:rsid w:val="00C16E88"/>
  </w:style>
  <w:style w:type="paragraph" w:styleId="writely-toc-none" w:customStyle="1">
    <w:name w:val="writely-toc-none"/>
    <w:basedOn w:val="Normal"/>
    <w:rsid w:val="00C16E88"/>
  </w:style>
  <w:style w:type="paragraph" w:styleId="Footer">
    <w:name w:val="footer"/>
    <w:basedOn w:val="Normal"/>
    <w:rsid w:val="00FD7F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7F4D"/>
  </w:style>
  <w:style w:type="paragraph" w:styleId="Header">
    <w:name w:val="header"/>
    <w:basedOn w:val="Normal"/>
    <w:rsid w:val="00FD7F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36E16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D45CB9"/>
    <w:pPr>
      <w:shd w:color="auto" w:fill="auto" w:val="clear"/>
      <w:spacing w:after="200" w:line="276" w:lineRule="auto"/>
      <w:ind w:left="720"/>
      <w:contextualSpacing w:val="1"/>
    </w:pPr>
    <w:rPr>
      <w:rFonts w:ascii="Calibri" w:cs="Times New Roman" w:eastAsia="Times New Roman" w:hAnsi="Calibri"/>
      <w:color w:val="auto"/>
      <w:sz w:val="22"/>
      <w:szCs w:val="22"/>
      <w:shd w:color="auto" w:fill="auto" w:val="clear"/>
      <w:lang w:eastAsia="en-US" w:val="en-US"/>
    </w:rPr>
  </w:style>
  <w:style w:type="character" w:styleId="Strong">
    <w:name w:val="Strong"/>
    <w:basedOn w:val="DefaultParagraphFont"/>
    <w:uiPriority w:val="22"/>
    <w:qFormat w:val="1"/>
    <w:rsid w:val="00537292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537292"/>
    <w:rPr>
      <w:i w:val="1"/>
      <w:iCs w:val="1"/>
    </w:rPr>
  </w:style>
  <w:style w:type="paragraph" w:styleId="Normal1" w:customStyle="1">
    <w:name w:val="Normal1"/>
    <w:basedOn w:val="Normal"/>
    <w:rsid w:val="002727AE"/>
    <w:pPr>
      <w:shd w:color="auto" w:fill="auto" w:val="clear"/>
      <w:tabs>
        <w:tab w:val="left" w:pos="0"/>
      </w:tabs>
    </w:pPr>
    <w:rPr>
      <w:rFonts w:ascii="Arial MT Condensed Light" w:cs="Times New Roman" w:eastAsia="Times New Roman" w:hAnsi="Arial MT Condensed Light"/>
      <w:color w:val="auto"/>
      <w:sz w:val="24"/>
      <w:shd w:color="auto" w:fill="auto" w:val="clear"/>
      <w:lang w:eastAsia="en-US" w:val="en-US"/>
    </w:rPr>
  </w:style>
  <w:style w:type="paragraph" w:styleId="NormalWeb">
    <w:name w:val="Normal (Web)"/>
    <w:basedOn w:val="Normal"/>
    <w:uiPriority w:val="99"/>
    <w:unhideWhenUsed w:val="1"/>
    <w:rsid w:val="00E35990"/>
    <w:pPr>
      <w:shd w:color="auto" w:fill="auto" w:val="clear"/>
      <w:spacing w:after="100" w:afterAutospacing="1" w:before="100" w:beforeAutospacing="1"/>
    </w:pPr>
    <w:rPr>
      <w:rFonts w:ascii="Times New Roman" w:cs="Times New Roman" w:eastAsia="Times New Roman" w:hAnsi="Times New Roman"/>
      <w:color w:val="auto"/>
      <w:sz w:val="24"/>
      <w:shd w:color="auto" w:fill="auto" w:val="clear"/>
      <w:lang w:eastAsia="en-US" w:val="en-US"/>
    </w:rPr>
  </w:style>
  <w:style w:type="character" w:styleId="hp" w:customStyle="1">
    <w:name w:val="hp"/>
    <w:basedOn w:val="DefaultParagraphFont"/>
    <w:rsid w:val="00D52736"/>
  </w:style>
  <w:style w:type="character" w:styleId="apple-converted-space" w:customStyle="1">
    <w:name w:val="apple-converted-space"/>
    <w:basedOn w:val="DefaultParagraphFont"/>
    <w:rsid w:val="00553893"/>
  </w:style>
  <w:style w:type="table" w:styleId="TableGrid">
    <w:name w:val="Table Grid"/>
    <w:basedOn w:val="TableNormal"/>
    <w:rsid w:val="000F0F7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qj" w:customStyle="1">
    <w:name w:val="aqj"/>
    <w:basedOn w:val="DefaultParagraphFont"/>
    <w:rsid w:val="00CD6A92"/>
  </w:style>
  <w:style w:type="paragraph" w:styleId="NoSpacing">
    <w:name w:val="No Spacing"/>
    <w:uiPriority w:val="1"/>
    <w:qFormat w:val="1"/>
    <w:rsid w:val="00351E7C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xqmrcjXWOMcux7xrxl2y/SOqZg==">CgMxLjAyDmguc3R1ZTBubXJxa29jOAByITE3d1lCTzZLMmcxdXpNTTR5RTZ5WnBxNU5BWUd4TFV0Ug==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2014-02-17T16:33:00Z</dcterms:created>
  <dc:creator>Mick Howen</dc:creator>
</cp:coreProperties>
</file>